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C" w:rsidRDefault="008A303C" w:rsidP="008A303C">
      <w:pPr>
        <w:pStyle w:val="Zwykytekst"/>
      </w:pPr>
    </w:p>
    <w:p w:rsidR="000342E9" w:rsidRPr="000342E9" w:rsidRDefault="000342E9" w:rsidP="000342E9">
      <w:pPr>
        <w:widowControl w:val="0"/>
        <w:tabs>
          <w:tab w:val="left" w:pos="374"/>
        </w:tabs>
        <w:spacing w:line="226" w:lineRule="exact"/>
        <w:ind w:left="380" w:right="20"/>
        <w:jc w:val="both"/>
        <w:rPr>
          <w:rFonts w:ascii="Tahoma" w:eastAsia="Arial Narro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widowControl w:val="0"/>
        <w:tabs>
          <w:tab w:val="left" w:pos="374"/>
        </w:tabs>
        <w:spacing w:line="226" w:lineRule="exact"/>
        <w:ind w:left="380" w:right="20"/>
        <w:jc w:val="both"/>
        <w:rPr>
          <w:rFonts w:ascii="Tahoma" w:eastAsia="Arial Narro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ind w:left="6372"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0342E9">
        <w:rPr>
          <w:rFonts w:ascii="Tahoma" w:hAnsi="Tahoma" w:cs="Tahoma"/>
          <w:b/>
          <w:sz w:val="20"/>
          <w:szCs w:val="20"/>
          <w:lang w:eastAsia="zh-CN"/>
        </w:rPr>
        <w:t xml:space="preserve">Zał. Nr 7 do SIWZ </w:t>
      </w:r>
    </w:p>
    <w:p w:rsidR="000342E9" w:rsidRPr="000342E9" w:rsidRDefault="000342E9" w:rsidP="000342E9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0342E9" w:rsidRPr="000342E9" w:rsidRDefault="00570C44" w:rsidP="000342E9">
      <w:pPr>
        <w:spacing w:line="360" w:lineRule="auto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DA.311.8.2016</w:t>
      </w:r>
    </w:p>
    <w:p w:rsidR="000342E9" w:rsidRPr="000342E9" w:rsidRDefault="000342E9" w:rsidP="000342E9">
      <w:pPr>
        <w:spacing w:line="480" w:lineRule="auto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jc w:val="center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/>
          <w:bCs/>
          <w:color w:val="000000"/>
          <w:sz w:val="20"/>
          <w:szCs w:val="20"/>
        </w:rPr>
        <w:t>ISTOTNE DLA STRON POSTANOWIENIA UMOWY</w:t>
      </w: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A220CC">
      <w:pPr>
        <w:keepNext/>
        <w:keepLines/>
        <w:widowControl w:val="0"/>
        <w:numPr>
          <w:ilvl w:val="0"/>
          <w:numId w:val="1"/>
        </w:numPr>
        <w:spacing w:after="200"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  <w:u w:val="single"/>
        </w:rPr>
      </w:pPr>
      <w:r w:rsidRPr="000342E9">
        <w:rPr>
          <w:rFonts w:ascii="Tahoma" w:eastAsia="Arial Narrow" w:hAnsi="Tahoma" w:cs="Tahoma"/>
          <w:b/>
          <w:bCs/>
          <w:color w:val="000000"/>
          <w:sz w:val="20"/>
          <w:szCs w:val="20"/>
        </w:rPr>
        <w:t>Przedmiot umowy</w:t>
      </w:r>
    </w:p>
    <w:p w:rsidR="000342E9" w:rsidRPr="000342E9" w:rsidRDefault="000342E9" w:rsidP="00A220CC">
      <w:pPr>
        <w:pStyle w:val="Akapitzlist"/>
        <w:keepNext/>
        <w:keepLines/>
        <w:widowControl w:val="0"/>
        <w:numPr>
          <w:ilvl w:val="1"/>
          <w:numId w:val="2"/>
        </w:numPr>
        <w:spacing w:line="190" w:lineRule="exact"/>
        <w:ind w:right="20"/>
        <w:jc w:val="both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  <w:u w:val="single"/>
        </w:rPr>
      </w:pPr>
      <w:r w:rsidRPr="000342E9">
        <w:rPr>
          <w:rFonts w:ascii="Tahoma" w:eastAsia="Arial Narrow" w:hAnsi="Tahoma" w:cs="Tahoma"/>
          <w:sz w:val="20"/>
          <w:szCs w:val="20"/>
        </w:rPr>
        <w:t>Określenie daty zawarcia umowy, która nie jest datą rozpoczęcia świadczenia dostawy energii elektrycznej i świadczenia usług dystrybucyjnych energii elektrycznej.</w:t>
      </w:r>
    </w:p>
    <w:p w:rsidR="000342E9" w:rsidRDefault="000342E9" w:rsidP="00A220CC">
      <w:pPr>
        <w:pStyle w:val="Akapitzlist"/>
        <w:keepNext/>
        <w:keepLines/>
        <w:widowControl w:val="0"/>
        <w:numPr>
          <w:ilvl w:val="1"/>
          <w:numId w:val="2"/>
        </w:numPr>
        <w:spacing w:line="190" w:lineRule="exact"/>
        <w:ind w:right="20"/>
        <w:jc w:val="both"/>
        <w:outlineLvl w:val="0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Określenie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 przedmiotu umowy.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 Narrow" w:hAnsi="Tahoma" w:cs="Tahoma"/>
          <w:bCs/>
          <w:color w:val="000000"/>
          <w:sz w:val="20"/>
          <w:szCs w:val="20"/>
        </w:rPr>
        <w:t>S</w:t>
      </w: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przedaż energii elektrycznej oraz świadczenie usługi przesyłania i dystrybucji odbywać się będzie na warunkach określonych przepisami ustawy z dnia 10 kwietnia 1997r. Prawo energetyczne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(Dz. U. 2012.1059.jt.), przepisami kodeksu cywilnego, zasadami określonymi w koncesji, postanowieniami niniejszej Umowy, a także zgodnie z Taryfą Wykonawcy i Taryfą Operatora Systemu Dystrybucyjnego.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jc w:val="both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Wykonawca zobowiązuje się do sprzedaży ene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rgii elektrycznej z zachowaniem </w:t>
      </w: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obowiązujących standardów jakościowych, określonych w Taryfie, Prawie energetycznym oraz aktach wykonawczych do tej ustawy.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jc w:val="both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Wykonawca zobowiązuje się zapewnić Zamawiającemu standardy jakości obsługi Zamawiającego w zakresie świadczenia usług przesyłania i dystrybucji: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1.5.1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przyjmowania od Zamawiającego, przez całą dobę zgłoszeń i reklamacji dotyczących dostarczania energii elektrycznej z sieci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1.5.2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bezzwłocznego przystąpienia do usuwania zakłóceń w dostarczaniu energii elektrycznej, spowodowanych nieprawidłową pracą sieci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5578AA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1.5.3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udzielania Zamawiającemu, na jego żądanie, informacji o przewidywanym terminie wznowienia dostarczania energii elektrycznej przerwanego z powodu awarii w sieci</w:t>
      </w:r>
      <w:r w:rsidR="005578AA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0342E9" w:rsidRDefault="005578AA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1.5.4 </w:t>
      </w:r>
      <w:r w:rsidR="000342E9" w:rsidRPr="005578AA">
        <w:rPr>
          <w:rFonts w:ascii="Tahoma" w:hAnsi="Tahoma" w:cs="Tahoma"/>
          <w:bCs/>
          <w:color w:val="000000"/>
          <w:sz w:val="20"/>
          <w:szCs w:val="20"/>
        </w:rPr>
        <w:t>nieodpłatnego udzielania informacji w sprawie rozliczeń oraz aktualnych taryf i zmian przepisów prawa powszechnie obowiązującego w zakresie objętym umową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5578AA" w:rsidRDefault="005578AA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1.5.5 </w:t>
      </w:r>
      <w:r w:rsidRPr="005578AA">
        <w:rPr>
          <w:rFonts w:ascii="Tahoma" w:hAnsi="Tahoma" w:cs="Tahoma"/>
          <w:bCs/>
          <w:color w:val="000000"/>
          <w:sz w:val="20"/>
          <w:szCs w:val="20"/>
        </w:rPr>
        <w:t>rozpatrywania wniosków lub reklamacji Zamawiającego w sprawie rozliczeń i udzielania odpowiedzi, nie później niż w terminie 14 dni od dnia złożenia wniosku lub zgłoszenia reklamacji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DE3E0D" w:rsidRPr="00DE3E0D" w:rsidRDefault="00DE3E0D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1.5.6 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>powiadamiania Zamawiającego o terminach i czasie planowanych przerw w dostawie  energii elektrycznej.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A220C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Dane techniczne dotyczące przedmiotu zamówienia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2.1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Zgodnie z danymi zawartymi w Załączniku nr 6 do SIWZ (opis przedmiotu zamówienia).</w:t>
      </w: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Termin realizacji zamówienia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3.1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Zamówienie należy realizować w terminie 12 miesięcy, nie wcześ</w:t>
      </w:r>
      <w:r w:rsidR="00ED44A7">
        <w:rPr>
          <w:rFonts w:ascii="Tahoma" w:hAnsi="Tahoma" w:cs="Tahoma"/>
          <w:bCs/>
          <w:color w:val="000000"/>
          <w:sz w:val="20"/>
          <w:szCs w:val="20"/>
        </w:rPr>
        <w:t>niej niż od dnia 1</w:t>
      </w:r>
      <w:r w:rsidR="00570C44">
        <w:rPr>
          <w:rFonts w:ascii="Tahoma" w:hAnsi="Tahoma" w:cs="Tahoma"/>
          <w:bCs/>
          <w:color w:val="000000"/>
          <w:sz w:val="20"/>
          <w:szCs w:val="20"/>
        </w:rPr>
        <w:t>maja 2016</w:t>
      </w:r>
      <w:bookmarkStart w:id="0" w:name="_GoBack"/>
      <w:bookmarkEnd w:id="0"/>
      <w:r w:rsidRPr="00DE3E0D">
        <w:rPr>
          <w:rFonts w:ascii="Tahoma" w:hAnsi="Tahoma" w:cs="Tahoma"/>
          <w:bCs/>
          <w:color w:val="000000"/>
          <w:sz w:val="20"/>
          <w:szCs w:val="20"/>
        </w:rPr>
        <w:t>r.</w:t>
      </w: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2611AF" w:rsidRDefault="002611AF" w:rsidP="002611A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/>
          <w:bCs/>
          <w:color w:val="000000"/>
          <w:sz w:val="20"/>
          <w:szCs w:val="20"/>
        </w:rPr>
        <w:t>Zasady rozliczeń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4.1.Kompleksowa dostawa energii elektrycznej wraz ze świadczeniem usług przesyłania oraz dystrybucji będzie rozliczana, zgodnie z ceną podaną w Formularzu ofertowym i Formularzu cenowym, które stanowią integralną część umowy (Załącznik nr 1).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lastRenderedPageBreak/>
        <w:t>4.2.Cena określona w ust. 1 uwzględnia wszystkie koszty i składniki, w tym podatek VAT, związane z wykonaniem zamówienia.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4.3.Należność za zużytą energię elektryczną w okresach rozliczeniowych obliczana będzie indywidualnie dla każdego punktu poboru, jako iloczyn ilości sprzedanej energii elektrycznej ustalonej na podstawie wskazań urządzeń pomiarowych zainstalowanych w układach pomiarowo – rozliczeniowych i ceny jednostkowej.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4.4. Rozliczenia kosztów sprzedanej energii odbywać się będą na podstawie odczytów rozliczeniowych układów pomiarowo – rozliczeniowych dokonywanych przez operatora systemu dystrybucyjnego zgodnie z okresem rozliczeniowym stosowanym przez OSD.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4.5.Faktury wystawiane będą na koniec okresu rozliczeniowego w terminie 14 dni od otrzymania przez Wykonawcę odczytów liczników pomiarowych od operatora systemu dystrybucyjnego.</w:t>
      </w:r>
    </w:p>
    <w:p w:rsidR="002611AF" w:rsidRPr="002611AF" w:rsidRDefault="002611AF" w:rsidP="002611AF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4.6.Wynagrodzenie za dany miesiąc rozliczeniowy płatne będzie po zakończeniu okresu rozliczeniowego w terminie 21 dni od daty wystawienia przez Wykonawcę faktury VAT przelewem na konto Wykonawcy wskazane w fakturze VAT.</w:t>
      </w:r>
    </w:p>
    <w:p w:rsidR="002611AF" w:rsidRPr="002611AF" w:rsidRDefault="002611AF" w:rsidP="002611AF">
      <w:pPr>
        <w:tabs>
          <w:tab w:val="left" w:pos="-2694"/>
          <w:tab w:val="left" w:pos="-2410"/>
        </w:tabs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2611AF">
        <w:rPr>
          <w:rFonts w:ascii="Tahoma" w:hAnsi="Tahoma" w:cs="Tahoma"/>
          <w:sz w:val="20"/>
          <w:szCs w:val="20"/>
        </w:rPr>
        <w:t>4.7.W przypadku uzasadnionych wątpliwości co do prawidłowości wystawionej faktury adresat faktury złoży pisemną reklamację. Reklamacja winna być rozpatrzona przez Wykonawcę w terminie do 7 dni. W przypadku uznania reklamacji Wykonawca wystawi fakturę korygującą.</w:t>
      </w:r>
    </w:p>
    <w:p w:rsidR="00DE3E0D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4.8.</w:t>
      </w:r>
      <w:r w:rsidR="00DE3E0D" w:rsidRPr="002611AF">
        <w:rPr>
          <w:rFonts w:ascii="Tahoma" w:hAnsi="Tahoma" w:cs="Tahoma"/>
          <w:bCs/>
          <w:color w:val="000000"/>
          <w:sz w:val="20"/>
          <w:szCs w:val="20"/>
        </w:rPr>
        <w:t>Zamawiający upoważnia Wykonawcę do wystawienia faktur VAT bez podpisu Zamawiającego.</w:t>
      </w:r>
    </w:p>
    <w:p w:rsidR="00DE3E0D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4.9.</w:t>
      </w:r>
      <w:r w:rsidR="00DE3E0D" w:rsidRPr="002611AF">
        <w:rPr>
          <w:rFonts w:ascii="Tahoma" w:hAnsi="Tahoma" w:cs="Tahoma"/>
          <w:bCs/>
          <w:color w:val="000000"/>
          <w:sz w:val="20"/>
          <w:szCs w:val="20"/>
        </w:rPr>
        <w:t>Faktury należy wystawić po zakończeniu każdego miesiąca na: Przedsiębiorstwo Gospodarki Komunalnej w Kołbaskowie, 72-001 Kołbaskowo, Rosówek 16, NIP 851-315-95-14, który jest płatnikiem VAT.</w:t>
      </w:r>
    </w:p>
    <w:p w:rsidR="004618E9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4.10.</w:t>
      </w:r>
      <w:r w:rsidR="00DE3E0D" w:rsidRPr="002611AF">
        <w:rPr>
          <w:rFonts w:ascii="Tahoma" w:hAnsi="Tahoma" w:cs="Tahoma"/>
          <w:bCs/>
          <w:color w:val="000000"/>
          <w:sz w:val="20"/>
          <w:szCs w:val="20"/>
        </w:rPr>
        <w:t xml:space="preserve">Zamawiający zobowiązuje Wykonawcę przed podpisaniem do dostarczenia dokładnego określenia granic własności urządzeń i instalacji dla każdego punktu poboru energii elektrycznej zamieszczonego w załączonym zestawieniu (załącznik nr.6 do SIWZ) </w:t>
      </w:r>
    </w:p>
    <w:p w:rsidR="004618E9" w:rsidRPr="002611AF" w:rsidRDefault="002611AF" w:rsidP="002611A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1AF">
        <w:rPr>
          <w:rFonts w:ascii="Tahoma" w:hAnsi="Tahoma" w:cs="Tahoma"/>
          <w:bCs/>
          <w:color w:val="000000"/>
          <w:sz w:val="20"/>
          <w:szCs w:val="20"/>
        </w:rPr>
        <w:t>4.11.</w:t>
      </w:r>
      <w:r w:rsidR="004618E9" w:rsidRPr="002611AF">
        <w:rPr>
          <w:rFonts w:ascii="Tahoma" w:hAnsi="Tahoma" w:cs="Tahoma"/>
          <w:bCs/>
          <w:color w:val="000000"/>
          <w:sz w:val="20"/>
          <w:szCs w:val="20"/>
        </w:rPr>
        <w:t>W przypadku zmiany wynikającej z przepisów prawa, stawki podatku akcyzowego na energię elektryczną, zawarte w umowie ceny sprzedaży energii elektrycznej ulegną zmianie stosownie do zmienionych przepisów</w:t>
      </w:r>
    </w:p>
    <w:p w:rsidR="00DE3E0D" w:rsidRPr="002611AF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Postanowienia końcowe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5.1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wszelkie oświadczenia woli oraz zawiadomienia składane przez Strony w związku z wykonywaniem niniejszej umowy wymagają dla swej skuteczności formy pisemnej.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5.2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 sprawach nieuregulowanych w umowie będą miały zastosowanie przepisy Kodeksu Cywilnego, ustawy Prawo zamówień publicznych oraz ustawy Prawo energetyczne wraz z obowiązującymi aktami wykonawczymi.</w:t>
      </w: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0342E9" w:rsidRDefault="00DE3E0D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EF07E8" w:rsidRPr="000342E9" w:rsidRDefault="00EF07E8" w:rsidP="000342E9">
      <w:pPr>
        <w:pStyle w:val="Akapitzlist"/>
        <w:spacing w:line="240" w:lineRule="auto"/>
        <w:ind w:left="1080"/>
        <w:rPr>
          <w:rFonts w:ascii="Tahoma" w:eastAsia="Arial Narrow" w:hAnsi="Tahoma" w:cs="Tahoma"/>
          <w:bCs/>
          <w:color w:val="000000"/>
          <w:sz w:val="20"/>
          <w:szCs w:val="20"/>
        </w:rPr>
      </w:pPr>
    </w:p>
    <w:sectPr w:rsidR="00EF07E8" w:rsidRPr="000342E9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E3" w:rsidRDefault="00864EE3" w:rsidP="00590C39">
      <w:r>
        <w:separator/>
      </w:r>
    </w:p>
  </w:endnote>
  <w:endnote w:type="continuationSeparator" w:id="0">
    <w:p w:rsidR="00864EE3" w:rsidRDefault="00864EE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E3" w:rsidRDefault="00864EE3" w:rsidP="00590C39">
      <w:r>
        <w:separator/>
      </w:r>
    </w:p>
  </w:footnote>
  <w:footnote w:type="continuationSeparator" w:id="0">
    <w:p w:rsidR="00864EE3" w:rsidRDefault="00864EE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216"/>
    <w:multiLevelType w:val="multilevel"/>
    <w:tmpl w:val="5E24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u w:val="none"/>
      </w:rPr>
    </w:lvl>
  </w:abstractNum>
  <w:abstractNum w:abstractNumId="2">
    <w:nsid w:val="1A2407AF"/>
    <w:multiLevelType w:val="hybridMultilevel"/>
    <w:tmpl w:val="B64623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50FD"/>
    <w:multiLevelType w:val="multilevel"/>
    <w:tmpl w:val="0EBA71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u w:val="none"/>
      </w:rPr>
    </w:lvl>
  </w:abstractNum>
  <w:abstractNum w:abstractNumId="4">
    <w:nsid w:val="65CF7119"/>
    <w:multiLevelType w:val="hybridMultilevel"/>
    <w:tmpl w:val="1A105EF0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27F6B"/>
    <w:rsid w:val="000342E9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8A7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AB8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5D5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1AF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18E9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0FA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578AA"/>
    <w:rsid w:val="00565F62"/>
    <w:rsid w:val="00570766"/>
    <w:rsid w:val="00570C44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4EE3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03C"/>
    <w:rsid w:val="008A31E5"/>
    <w:rsid w:val="008A366A"/>
    <w:rsid w:val="008A3DC0"/>
    <w:rsid w:val="008A6C9E"/>
    <w:rsid w:val="008A6F7C"/>
    <w:rsid w:val="008B0B21"/>
    <w:rsid w:val="008B1315"/>
    <w:rsid w:val="008B2B2D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4A49"/>
    <w:rsid w:val="00A151C7"/>
    <w:rsid w:val="00A15EE7"/>
    <w:rsid w:val="00A17C8F"/>
    <w:rsid w:val="00A220CC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55C9"/>
    <w:rsid w:val="00BA5C88"/>
    <w:rsid w:val="00BB043C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B40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3E0D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4A7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1CAB-9BB3-4828-975F-22B8F024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8</cp:revision>
  <cp:lastPrinted>2015-02-26T11:06:00Z</cp:lastPrinted>
  <dcterms:created xsi:type="dcterms:W3CDTF">2015-02-18T09:59:00Z</dcterms:created>
  <dcterms:modified xsi:type="dcterms:W3CDTF">2016-03-07T11:47:00Z</dcterms:modified>
</cp:coreProperties>
</file>